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BF" w:rsidRDefault="00CB1A7A">
      <w:pPr>
        <w:pStyle w:val="Standard"/>
        <w:rPr>
          <w:rFonts w:ascii="sans-serif" w:hAnsi="sans-serif" w:hint="eastAsia"/>
          <w:sz w:val="27"/>
        </w:rPr>
      </w:pPr>
      <w:bookmarkStart w:id="0" w:name="_GoBack"/>
      <w:bookmarkEnd w:id="0"/>
      <w:r>
        <w:rPr>
          <w:rFonts w:ascii="sans-serif" w:hAnsi="sans-serif"/>
          <w:sz w:val="27"/>
        </w:rPr>
        <w:t>Página 29 do Manual de Aprendizagem do MTE</w:t>
      </w:r>
    </w:p>
    <w:p w:rsidR="00B258BF" w:rsidRDefault="00B258BF">
      <w:pPr>
        <w:pStyle w:val="Standard"/>
        <w:rPr>
          <w:rFonts w:ascii="sans-serif" w:hAnsi="sans-serif" w:hint="eastAsia"/>
          <w:sz w:val="27"/>
        </w:rPr>
      </w:pPr>
    </w:p>
    <w:p w:rsidR="00B258BF" w:rsidRDefault="00CB1A7A">
      <w:pPr>
        <w:pStyle w:val="Standard"/>
        <w:rPr>
          <w:rFonts w:ascii="sans-serif" w:hAnsi="sans-serif" w:hint="eastAsia"/>
          <w:sz w:val="27"/>
        </w:rPr>
      </w:pPr>
      <w:r>
        <w:rPr>
          <w:rFonts w:ascii="sans-serif" w:hAnsi="sans-serif"/>
          <w:sz w:val="27"/>
        </w:rPr>
        <w:t>Como é calculado o salário do aprendiz?</w:t>
      </w:r>
    </w:p>
    <w:p w:rsidR="00B258BF" w:rsidRDefault="00CB1A7A">
      <w:pPr>
        <w:pStyle w:val="Standard"/>
        <w:rPr>
          <w:rFonts w:ascii="sans-serif" w:hAnsi="sans-serif" w:hint="eastAsia"/>
          <w:sz w:val="27"/>
        </w:rPr>
      </w:pPr>
      <w:r>
        <w:rPr>
          <w:rFonts w:ascii="sans-serif" w:hAnsi="sans-serif"/>
          <w:sz w:val="27"/>
        </w:rPr>
        <w:t>No cálculo do salário do aprendiz, deve-se considerar o total das horas</w:t>
      </w:r>
    </w:p>
    <w:p w:rsidR="00B258BF" w:rsidRDefault="00CB1A7A">
      <w:pPr>
        <w:pStyle w:val="Standard"/>
        <w:rPr>
          <w:rFonts w:ascii="sans-serif" w:hAnsi="sans-serif" w:hint="eastAsia"/>
          <w:sz w:val="27"/>
        </w:rPr>
      </w:pPr>
      <w:r>
        <w:rPr>
          <w:rFonts w:ascii="sans-serif" w:hAnsi="sans-serif"/>
          <w:sz w:val="27"/>
        </w:rPr>
        <w:t>trabalhadas, computadas às</w:t>
      </w:r>
      <w:r>
        <w:rPr>
          <w:rFonts w:ascii="sans-serif" w:hAnsi="sans-serif"/>
          <w:sz w:val="27"/>
        </w:rPr>
        <w:t xml:space="preserve"> atividades teóricas referentes, e também o</w:t>
      </w:r>
    </w:p>
    <w:p w:rsidR="00B258BF" w:rsidRDefault="00CB1A7A">
      <w:pPr>
        <w:pStyle w:val="Standard"/>
        <w:rPr>
          <w:rFonts w:ascii="sans-serif" w:hAnsi="sans-serif" w:hint="eastAsia"/>
          <w:sz w:val="27"/>
        </w:rPr>
      </w:pPr>
      <w:r>
        <w:rPr>
          <w:rFonts w:ascii="sans-serif" w:hAnsi="sans-serif"/>
          <w:sz w:val="27"/>
        </w:rPr>
        <w:t>repouso semanal remunerado e feriados, não contemplados no valor unitário do salário-hora, nos termos da fórmula seguinte:</w:t>
      </w:r>
    </w:p>
    <w:p w:rsidR="00B258BF" w:rsidRDefault="00CB1A7A">
      <w:pPr>
        <w:pStyle w:val="Standard"/>
        <w:rPr>
          <w:rFonts w:ascii="sans-serif" w:hAnsi="sans-serif" w:hint="eastAsia"/>
        </w:rPr>
      </w:pPr>
      <w:r>
        <w:rPr>
          <w:rFonts w:ascii="sans-serif" w:hAnsi="sans-serif"/>
        </w:rPr>
        <w:t>Salário Mensal = (Salário-hora x horas trabalhadas semanais x semanas do mês x 7) / 6</w:t>
      </w:r>
    </w:p>
    <w:p w:rsidR="00B258BF" w:rsidRDefault="00CB1A7A">
      <w:pPr>
        <w:pStyle w:val="Standard"/>
        <w:rPr>
          <w:rFonts w:ascii="sans-serif" w:hAnsi="sans-serif" w:hint="eastAsia"/>
        </w:rPr>
      </w:pPr>
      <w:r>
        <w:rPr>
          <w:rFonts w:ascii="sans-serif" w:hAnsi="sans-serif"/>
        </w:rPr>
        <w:t>Ob</w:t>
      </w:r>
      <w:r>
        <w:rPr>
          <w:rFonts w:ascii="sans-serif" w:hAnsi="sans-serif"/>
        </w:rPr>
        <w:t>servação:</w:t>
      </w:r>
    </w:p>
    <w:p w:rsidR="00B258BF" w:rsidRDefault="00CB1A7A">
      <w:pPr>
        <w:pStyle w:val="Standard"/>
        <w:rPr>
          <w:rFonts w:ascii="sans-serif" w:hAnsi="sans-serif" w:hint="eastAsia"/>
        </w:rPr>
      </w:pPr>
      <w:r>
        <w:rPr>
          <w:rFonts w:ascii="sans-serif" w:hAnsi="sans-serif"/>
        </w:rPr>
        <w:t>O número de semanas varia de acordo com o número de dias do mês:</w:t>
      </w:r>
    </w:p>
    <w:p w:rsidR="00B258BF" w:rsidRDefault="00CB1A7A">
      <w:pPr>
        <w:pStyle w:val="Standard"/>
        <w:rPr>
          <w:rFonts w:ascii="sans-serif" w:hAnsi="sans-serif" w:hint="eastAsia"/>
        </w:rPr>
      </w:pPr>
      <w:r>
        <w:rPr>
          <w:rFonts w:ascii="sans-serif" w:hAnsi="sans-serif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090519"/>
            <wp:effectExtent l="0" t="0" r="0" b="4981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09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8BF" w:rsidRDefault="00CB1A7A">
      <w:pPr>
        <w:pStyle w:val="Standard"/>
        <w:rPr>
          <w:rFonts w:hint="eastAsia"/>
        </w:rPr>
      </w:pPr>
      <w:r>
        <w:t xml:space="preserve">Fonte: </w:t>
      </w:r>
      <w:hyperlink r:id="rId7" w:history="1">
        <w:r>
          <w:t>http://portal.mte.gov.br/data/files/8A7C816A454D74C1014</w:t>
        </w:r>
        <w:r>
          <w:t>59564521D7BED/manual_aprendizagem_miolo.pdf</w:t>
        </w:r>
      </w:hyperlink>
    </w:p>
    <w:p w:rsidR="00B258BF" w:rsidRDefault="00B258BF">
      <w:pPr>
        <w:pStyle w:val="Standard"/>
        <w:rPr>
          <w:rFonts w:hint="eastAsia"/>
        </w:rPr>
      </w:pPr>
    </w:p>
    <w:p w:rsidR="00B258BF" w:rsidRDefault="00B258BF">
      <w:pPr>
        <w:pStyle w:val="Standard"/>
        <w:rPr>
          <w:rFonts w:hint="eastAsia"/>
        </w:rPr>
      </w:pPr>
    </w:p>
    <w:sectPr w:rsidR="00B258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7A" w:rsidRDefault="00CB1A7A">
      <w:pPr>
        <w:rPr>
          <w:rFonts w:hint="eastAsia"/>
        </w:rPr>
      </w:pPr>
      <w:r>
        <w:separator/>
      </w:r>
    </w:p>
  </w:endnote>
  <w:endnote w:type="continuationSeparator" w:id="0">
    <w:p w:rsidR="00CB1A7A" w:rsidRDefault="00CB1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7A" w:rsidRDefault="00CB1A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B1A7A" w:rsidRDefault="00CB1A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58BF"/>
    <w:rsid w:val="004154E8"/>
    <w:rsid w:val="00B258BF"/>
    <w:rsid w:val="00C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6C45D-5621-4E62-A967-CD516E1A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mte.gov.br/data/files/8A7C816A454D74C101459564521D7BED/manual_aprendizagem_miol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Graziela.Santos</dc:creator>
  <cp:lastModifiedBy>Graziela.Santos</cp:lastModifiedBy>
  <cp:revision>2</cp:revision>
  <dcterms:created xsi:type="dcterms:W3CDTF">2018-09-05T16:51:00Z</dcterms:created>
  <dcterms:modified xsi:type="dcterms:W3CDTF">2018-09-05T16:51:00Z</dcterms:modified>
</cp:coreProperties>
</file>